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8C" w:rsidRDefault="00E16A8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ČESTNÉ PROHLÁŠENÍ </w:t>
      </w:r>
    </w:p>
    <w:p w:rsidR="00F9148C" w:rsidRDefault="00F9148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F9148C" w:rsidRDefault="00E16A8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Název veřejné zakázky: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Ochranné pomůcky</w:t>
      </w:r>
    </w:p>
    <w:p w:rsidR="00F9148C" w:rsidRDefault="00F9148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F9148C" w:rsidRDefault="00E16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</w:t>
      </w:r>
    </w:p>
    <w:p w:rsidR="00F9148C" w:rsidRDefault="00E16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Dodavatel …………………………..,………………………………………………………………. </w:t>
      </w:r>
    </w:p>
    <w:p w:rsidR="00F9148C" w:rsidRDefault="00E16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F9148C" w:rsidRDefault="00E16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color w:val="000000"/>
        </w:rPr>
        <w:t>sídlem ………………………………………………………………………………………………..</w:t>
      </w:r>
    </w:p>
    <w:p w:rsidR="00F9148C" w:rsidRDefault="00F914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9148C" w:rsidRDefault="00E16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IČ: ………….</w:t>
      </w:r>
    </w:p>
    <w:p w:rsidR="00F9148C" w:rsidRDefault="00F914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9148C" w:rsidRDefault="00E16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zastoupený ……………………….</w:t>
      </w:r>
    </w:p>
    <w:p w:rsidR="00F9148C" w:rsidRDefault="00F914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9148C" w:rsidRDefault="00E16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čestně prohlašuje, že:</w:t>
      </w:r>
    </w:p>
    <w:p w:rsidR="00F9148C" w:rsidRDefault="00F914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9148C" w:rsidRDefault="00E16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splňuje základní způsobilost dle § 74</w:t>
      </w:r>
      <w:r>
        <w:rPr>
          <w:rFonts w:ascii="Arial" w:eastAsia="Arial" w:hAnsi="Arial" w:cs="Arial"/>
          <w:b/>
          <w:u w:val="single"/>
        </w:rPr>
        <w:t xml:space="preserve"> zákona č. 134/2016 Sb., o zadávání veřejných zakázek, v platném znění</w:t>
      </w:r>
      <w:r>
        <w:rPr>
          <w:rFonts w:ascii="Arial" w:eastAsia="Arial" w:hAnsi="Arial" w:cs="Arial"/>
          <w:b/>
          <w:color w:val="000000"/>
          <w:u w:val="single"/>
        </w:rPr>
        <w:t>, neboť:</w:t>
      </w:r>
    </w:p>
    <w:p w:rsidR="00F9148C" w:rsidRDefault="00F914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9148C" w:rsidRDefault="00E16A8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vertAlign w:val="superscript"/>
        </w:rPr>
        <w:t>1</w:t>
      </w:r>
      <w:r>
        <w:rPr>
          <w:rFonts w:ascii="Arial" w:eastAsia="Arial" w:hAnsi="Arial" w:cs="Arial"/>
          <w:color w:val="000000"/>
        </w:rPr>
        <w:t>nebyl v zemi svého sídla v posledních 5 letech před zahájením zadávacího řízení pravomocně odsouzen pro trestný čin uvedený v příloze č. 3</w:t>
      </w:r>
      <w:r>
        <w:rPr>
          <w:rFonts w:ascii="Arial" w:eastAsia="Arial" w:hAnsi="Arial" w:cs="Arial"/>
          <w:color w:val="000000"/>
        </w:rPr>
        <w:t xml:space="preserve"> zákona č. 134/2016 Sb.,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 zadávání veřejných zakázek, nebo obdobný trestný čin podle právního řádu země sídla dodavatele k zahlazeným odsouzením se nepřihlíží,</w:t>
      </w:r>
    </w:p>
    <w:p w:rsidR="00F9148C" w:rsidRDefault="00E16A8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nemá v České republice nebo v zemi svého sídla v evidenci daní zachycen splatný daňový nedopla</w:t>
      </w:r>
      <w:r>
        <w:rPr>
          <w:rFonts w:ascii="Arial" w:eastAsia="Arial" w:hAnsi="Arial" w:cs="Arial"/>
          <w:color w:val="000000"/>
        </w:rPr>
        <w:t>tek, a to i ve vztahu ke spotřební dani</w:t>
      </w:r>
    </w:p>
    <w:p w:rsidR="00F9148C" w:rsidRDefault="00E16A8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nemá v České republice nebo v zemi svého sídla splatný nedoplatek na pojistném nebo na penále na veřejné zdravotní pojištění,</w:t>
      </w:r>
    </w:p>
    <w:p w:rsidR="00F9148C" w:rsidRDefault="00E16A8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nemá v České republice nebo v zemi svého sídla splatný nedoplatek na pojistném nebo na pen</w:t>
      </w:r>
      <w:r>
        <w:rPr>
          <w:rFonts w:ascii="Arial" w:eastAsia="Arial" w:hAnsi="Arial" w:cs="Arial"/>
          <w:color w:val="000000"/>
        </w:rPr>
        <w:t>ále na sociální zabezpečení a příspěvku na státní politiku zaměstnanosti,</w:t>
      </w:r>
    </w:p>
    <w:p w:rsidR="00F9148C" w:rsidRDefault="00E16A8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není v likvidaci</w:t>
      </w:r>
      <w:r>
        <w:rPr>
          <w:rFonts w:ascii="Arial" w:eastAsia="Arial" w:hAnsi="Arial" w:cs="Arial"/>
          <w:color w:val="000000"/>
          <w:vertAlign w:val="superscript"/>
        </w:rPr>
        <w:t>2</w:t>
      </w:r>
      <w:r>
        <w:rPr>
          <w:rFonts w:ascii="Arial" w:eastAsia="Arial" w:hAnsi="Arial" w:cs="Arial"/>
          <w:color w:val="000000"/>
        </w:rPr>
        <w:t>, nebylo proti němu vydáno rozhodnutí o úpadku</w:t>
      </w:r>
      <w:r>
        <w:rPr>
          <w:rFonts w:ascii="Arial" w:eastAsia="Arial" w:hAnsi="Arial" w:cs="Arial"/>
          <w:color w:val="000000"/>
          <w:vertAlign w:val="superscript"/>
        </w:rPr>
        <w:t>3</w:t>
      </w:r>
      <w:r>
        <w:rPr>
          <w:rFonts w:ascii="Arial" w:eastAsia="Arial" w:hAnsi="Arial" w:cs="Arial"/>
          <w:color w:val="000000"/>
        </w:rPr>
        <w:t>, nebyla vůči němu nařízena nucená správa podle jiného právního předpisu</w:t>
      </w:r>
      <w:r>
        <w:rPr>
          <w:rFonts w:ascii="Arial" w:eastAsia="Arial" w:hAnsi="Arial" w:cs="Arial"/>
          <w:color w:val="000000"/>
          <w:vertAlign w:val="superscript"/>
        </w:rPr>
        <w:t>4</w:t>
      </w:r>
      <w:r>
        <w:rPr>
          <w:rFonts w:ascii="Arial" w:eastAsia="Arial" w:hAnsi="Arial" w:cs="Arial"/>
          <w:color w:val="000000"/>
        </w:rPr>
        <w:t xml:space="preserve"> nebo není v obdobné situaci podle právního ř</w:t>
      </w:r>
      <w:r>
        <w:rPr>
          <w:rFonts w:ascii="Arial" w:eastAsia="Arial" w:hAnsi="Arial" w:cs="Arial"/>
          <w:color w:val="000000"/>
        </w:rPr>
        <w:t>ádu země sídla dodavatele.</w:t>
      </w:r>
    </w:p>
    <w:p w:rsidR="00F9148C" w:rsidRDefault="00E16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Pozn.:</w:t>
      </w:r>
    </w:p>
    <w:p w:rsidR="00F9148C" w:rsidRDefault="00E16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1 - je-li dodavatelem právnická osoba, splňuje tuto podmínku jak tato právnická osoba, tak její statutární orgán nebo každý člen statutárního orgánu, a je-li statutárním orgánem dodavatele či členem statutárního orgánu dodavatele právnická osoba, splňuje t</w:t>
      </w:r>
      <w:r>
        <w:rPr>
          <w:rFonts w:ascii="Arial" w:eastAsia="Arial" w:hAnsi="Arial" w:cs="Arial"/>
          <w:color w:val="000000"/>
          <w:sz w:val="18"/>
          <w:szCs w:val="18"/>
        </w:rPr>
        <w:t>uto podmínku jak tato právnická osoba, tak její statutární orgán nebo každý člen statutárního orgánu této právnické osoby nebo osoba zastupující tuto právnickou osobu v statutárním orgánu dodavatele; účastní-li se zadávacího řízení pobočka zahraniční právn</w:t>
      </w:r>
      <w:r>
        <w:rPr>
          <w:rFonts w:ascii="Arial" w:eastAsia="Arial" w:hAnsi="Arial" w:cs="Arial"/>
          <w:color w:val="000000"/>
          <w:sz w:val="18"/>
          <w:szCs w:val="18"/>
        </w:rPr>
        <w:t>ické osoby, splňuje tuto podmínku jak tato právnická osoba tak vedoucí pobočky závodu; účastní-li se zadávacího řízení pobočka české právnické osoby, splňuje tuto podmínku jak tato právnická osoba, tak její statutární orgán nebo každý člen statutárního org</w:t>
      </w:r>
      <w:r>
        <w:rPr>
          <w:rFonts w:ascii="Arial" w:eastAsia="Arial" w:hAnsi="Arial" w:cs="Arial"/>
          <w:color w:val="000000"/>
          <w:sz w:val="18"/>
          <w:szCs w:val="18"/>
        </w:rPr>
        <w:t>ánu této právnické osoby nebo osoba zastupující tuto právnickou osobu v statutárním orgánu dodavatele;</w:t>
      </w:r>
    </w:p>
    <w:p w:rsidR="00F9148C" w:rsidRDefault="00E16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2 - ust. § 187 občanského zákoníku, ve znění pozdějších předpisů;</w:t>
      </w:r>
    </w:p>
    <w:p w:rsidR="00F9148C" w:rsidRDefault="00E16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3 - ust. § 136 zákona č. 182/2006 Sb., o úpadku a způsobech jeho řešení (insolvenční zá</w:t>
      </w:r>
      <w:r>
        <w:rPr>
          <w:rFonts w:ascii="Arial" w:eastAsia="Arial" w:hAnsi="Arial" w:cs="Arial"/>
          <w:color w:val="000000"/>
          <w:sz w:val="18"/>
          <w:szCs w:val="18"/>
        </w:rPr>
        <w:t>kon), ve znění pozdějších předpisů;</w:t>
      </w:r>
    </w:p>
    <w:p w:rsidR="00F9148C" w:rsidRDefault="00E16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4- například zákon č. 21/1992 Sb., o bankách, ve znění pozdějších předpisů, zákon č. 87/1995 Sb., </w:t>
      </w:r>
      <w:r>
        <w:rPr>
          <w:rFonts w:ascii="Arial" w:eastAsia="Arial" w:hAnsi="Arial" w:cs="Arial"/>
          <w:color w:val="000000"/>
          <w:sz w:val="18"/>
          <w:szCs w:val="18"/>
        </w:rPr>
        <w:br/>
        <w:t>o spořitelních a úvěrních družstvech a některých opatřeních s tím souvisejících  a o doplnění zákona České národní rady č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586/1992 Sb., o daních z příjmů, ve znění pozdějších předpisů, zákon č. 363/1999 Sb., </w:t>
      </w:r>
      <w:r>
        <w:rPr>
          <w:rFonts w:ascii="Arial" w:eastAsia="Arial" w:hAnsi="Arial" w:cs="Arial"/>
          <w:color w:val="000000"/>
          <w:sz w:val="18"/>
          <w:szCs w:val="18"/>
        </w:rPr>
        <w:br/>
        <w:t>o pojišťovnictví a o změně některých souvisejících zákonů.</w:t>
      </w:r>
    </w:p>
    <w:p w:rsidR="00F9148C" w:rsidRDefault="00F914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9148C" w:rsidRDefault="00F914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9148C" w:rsidRDefault="00E16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A dále splňuje profesní způsobilost </w:t>
      </w:r>
      <w:r>
        <w:rPr>
          <w:rFonts w:ascii="Arial" w:eastAsia="Arial" w:hAnsi="Arial" w:cs="Arial"/>
          <w:b/>
          <w:u w:val="single"/>
        </w:rPr>
        <w:t>dle § 77 zákona č. 134/2016 Sb., o zadávání veřejných zakázek, v platném znění</w:t>
      </w:r>
      <w:r>
        <w:rPr>
          <w:rFonts w:ascii="Arial" w:eastAsia="Arial" w:hAnsi="Arial" w:cs="Arial"/>
          <w:b/>
          <w:color w:val="000000"/>
          <w:u w:val="single"/>
        </w:rPr>
        <w:t>, neboť:</w:t>
      </w:r>
    </w:p>
    <w:p w:rsidR="00F9148C" w:rsidRDefault="00F914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</w:p>
    <w:p w:rsidR="00F9148C" w:rsidRDefault="00E16A8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na výzvu může předložit výpis z obchodního rejstříku nebo jiné obdobné evidence, pokud jiný právní předpis zápis do takové evidence vyžaduje</w:t>
      </w:r>
      <w:r>
        <w:rPr>
          <w:rFonts w:ascii="Arial" w:eastAsia="Arial" w:hAnsi="Arial" w:cs="Arial"/>
        </w:rPr>
        <w:t>.</w:t>
      </w:r>
    </w:p>
    <w:p w:rsidR="00F9148C" w:rsidRDefault="00F914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</w:p>
    <w:p w:rsidR="00F9148C" w:rsidRDefault="00F914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9148C" w:rsidRDefault="00E16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 ….. 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>ne …..</w:t>
      </w:r>
    </w:p>
    <w:p w:rsidR="00F9148C" w:rsidRDefault="00F914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9148C" w:rsidRDefault="00F914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9148C" w:rsidRDefault="00E16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……………………………………….</w:t>
      </w:r>
    </w:p>
    <w:p w:rsidR="00F9148C" w:rsidRDefault="00E16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….. (dodavatel) </w:t>
      </w:r>
    </w:p>
    <w:p w:rsidR="00F9148C" w:rsidRDefault="00E16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jehož jménem jedná ……….., …….(funkce)</w:t>
      </w:r>
    </w:p>
    <w:sectPr w:rsidR="00F9148C" w:rsidSect="00F9148C">
      <w:headerReference w:type="default" r:id="rId7"/>
      <w:footerReference w:type="default" r:id="rId8"/>
      <w:pgSz w:w="11906" w:h="16838"/>
      <w:pgMar w:top="1134" w:right="1644" w:bottom="426" w:left="1644" w:header="1021" w:footer="192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A81" w:rsidRDefault="00E16A81" w:rsidP="00F9148C">
      <w:r>
        <w:separator/>
      </w:r>
    </w:p>
  </w:endnote>
  <w:endnote w:type="continuationSeparator" w:id="0">
    <w:p w:rsidR="00E16A81" w:rsidRDefault="00E16A81" w:rsidP="00F91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8C" w:rsidRDefault="00E16A8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left" w:pos="54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A81" w:rsidRDefault="00E16A81" w:rsidP="00F9148C">
      <w:r>
        <w:separator/>
      </w:r>
    </w:p>
  </w:footnote>
  <w:footnote w:type="continuationSeparator" w:id="0">
    <w:p w:rsidR="00E16A81" w:rsidRDefault="00E16A81" w:rsidP="00F91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8C" w:rsidRDefault="00E16A81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368300</wp:posOffset>
            </wp:positionH>
            <wp:positionV relativeFrom="paragraph">
              <wp:posOffset>279400</wp:posOffset>
            </wp:positionV>
            <wp:extent cx="4996815" cy="238125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2852355" y="3665700"/>
                      <a:ext cx="49872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  <w:t xml:space="preserve"> 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14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368300</wp:posOffset>
              </wp:positionH>
              <wp:positionV relativeFrom="paragraph">
                <wp:posOffset>279400</wp:posOffset>
              </wp:positionV>
              <wp:extent cx="4996815" cy="238125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6815" cy="2381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3906"/>
    <w:multiLevelType w:val="multilevel"/>
    <w:tmpl w:val="90BAB128"/>
    <w:lvl w:ilvl="0">
      <w:start w:val="1"/>
      <w:numFmt w:val="lowerLetter"/>
      <w:lvlText w:val="%1)"/>
      <w:lvlJc w:val="left"/>
      <w:pPr>
        <w:ind w:left="680" w:hanging="396"/>
      </w:pPr>
      <w:rPr>
        <w:b w:val="0"/>
        <w:i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66D40DDF"/>
    <w:multiLevelType w:val="multilevel"/>
    <w:tmpl w:val="E3D2A4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48C"/>
    <w:rsid w:val="0025055B"/>
    <w:rsid w:val="00E16A81"/>
    <w:rsid w:val="00F9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F914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F914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F914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F914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F914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F9148C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F9148C"/>
  </w:style>
  <w:style w:type="table" w:customStyle="1" w:styleId="TableNormal">
    <w:name w:val="Table Normal"/>
    <w:rsid w:val="00F914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F9148C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F914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holzbachova</dc:creator>
  <cp:lastModifiedBy>Šárka Holzbachová</cp:lastModifiedBy>
  <cp:revision>2</cp:revision>
  <dcterms:created xsi:type="dcterms:W3CDTF">2019-11-15T20:21:00Z</dcterms:created>
  <dcterms:modified xsi:type="dcterms:W3CDTF">2019-11-15T20:21:00Z</dcterms:modified>
</cp:coreProperties>
</file>