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ČESTNÉ PROHLÁŠENÍ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Název veřejné zakázky: </w:t>
      </w:r>
      <w:r w:rsidDel="00000000" w:rsidR="00000000" w:rsidRPr="00000000">
        <w:rPr>
          <w:rFonts w:ascii="Arial" w:cs="Arial" w:eastAsia="Arial" w:hAnsi="Arial"/>
          <w:b w:val="1"/>
          <w:sz w:val="22"/>
          <w:szCs w:val="22"/>
          <w:highlight w:val="white"/>
          <w:rtl w:val="0"/>
        </w:rPr>
        <w:t xml:space="preserve">Přeložka kabelů podél koryta Rokytky, S - 142388</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 Dodavatel …………………………..,………………………………………………………………. </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sídlem ………………………………………………………………………………………………..</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 IČ: …………., čestně prohlašuje, že:</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splňuje základní způsobilost, neboť:</w:t>
      </w:r>
    </w:p>
    <w:p w:rsidR="00000000" w:rsidDel="00000000" w:rsidP="00000000" w:rsidRDefault="00000000" w:rsidRPr="00000000" w14:paraId="0000000D">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E">
      <w:pPr>
        <w:numPr>
          <w:ilvl w:val="0"/>
          <w:numId w:val="1"/>
        </w:numPr>
        <w:spacing w:after="240" w:before="0" w:lineRule="auto"/>
        <w:ind w:left="680" w:hanging="396"/>
        <w:jc w:val="both"/>
        <w:rPr/>
      </w:pP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nebyl v zemi svého sídla v posledních 5 letech před zahájením zadávacího řízení pravomocně odsouzen pro trestný čin uvedený v příloze č. 3 zákona č. 134/2016 Sb., </w:t>
        <w:br w:type="textWrapping"/>
        <w:t xml:space="preserve">o zadávání veřejných zakázek, nebo obdobný trestný čin podle právního řádu země sídla dodavatele k zahlazeným odsouzením se nepřihlíží,</w:t>
      </w:r>
    </w:p>
    <w:p w:rsidR="00000000" w:rsidDel="00000000" w:rsidP="00000000" w:rsidRDefault="00000000" w:rsidRPr="00000000" w14:paraId="0000000F">
      <w:pPr>
        <w:numPr>
          <w:ilvl w:val="0"/>
          <w:numId w:val="1"/>
        </w:numPr>
        <w:spacing w:after="240" w:before="0" w:lineRule="auto"/>
        <w:ind w:left="680" w:hanging="396"/>
        <w:jc w:val="both"/>
        <w:rPr/>
      </w:pPr>
      <w:r w:rsidDel="00000000" w:rsidR="00000000" w:rsidRPr="00000000">
        <w:rPr>
          <w:rFonts w:ascii="Arial" w:cs="Arial" w:eastAsia="Arial" w:hAnsi="Arial"/>
          <w:sz w:val="20"/>
          <w:szCs w:val="20"/>
          <w:rtl w:val="0"/>
        </w:rPr>
        <w:t xml:space="preserve">nemá v České republice nebo v zemi svého sídla v evidenci daní zachycen splatný daňový nedoplatek, a to i ve vztahu ke spotřební dani</w:t>
      </w:r>
    </w:p>
    <w:p w:rsidR="00000000" w:rsidDel="00000000" w:rsidP="00000000" w:rsidRDefault="00000000" w:rsidRPr="00000000" w14:paraId="00000010">
      <w:pPr>
        <w:numPr>
          <w:ilvl w:val="0"/>
          <w:numId w:val="1"/>
        </w:numPr>
        <w:spacing w:after="240" w:before="0" w:lineRule="auto"/>
        <w:ind w:left="680" w:hanging="396"/>
        <w:jc w:val="both"/>
        <w:rPr/>
      </w:pPr>
      <w:r w:rsidDel="00000000" w:rsidR="00000000" w:rsidRPr="00000000">
        <w:rPr>
          <w:rFonts w:ascii="Arial" w:cs="Arial" w:eastAsia="Arial" w:hAnsi="Arial"/>
          <w:sz w:val="20"/>
          <w:szCs w:val="20"/>
          <w:rtl w:val="0"/>
        </w:rPr>
        <w:t xml:space="preserve">nemá v České republice nebo v zemi svého sídla splatný nedoplatek na pojistném nebo na penále na veřejné zdravotní pojištění,</w:t>
      </w:r>
      <w:r w:rsidDel="00000000" w:rsidR="00000000" w:rsidRPr="00000000">
        <w:rPr>
          <w:rtl w:val="0"/>
        </w:rPr>
      </w:r>
    </w:p>
    <w:p w:rsidR="00000000" w:rsidDel="00000000" w:rsidP="00000000" w:rsidRDefault="00000000" w:rsidRPr="00000000" w14:paraId="00000011">
      <w:pPr>
        <w:numPr>
          <w:ilvl w:val="0"/>
          <w:numId w:val="1"/>
        </w:numPr>
        <w:spacing w:after="240" w:before="0" w:lineRule="auto"/>
        <w:ind w:left="680" w:hanging="396"/>
        <w:jc w:val="both"/>
        <w:rPr/>
      </w:pPr>
      <w:r w:rsidDel="00000000" w:rsidR="00000000" w:rsidRPr="00000000">
        <w:rPr>
          <w:rFonts w:ascii="Arial" w:cs="Arial" w:eastAsia="Arial" w:hAnsi="Arial"/>
          <w:sz w:val="20"/>
          <w:szCs w:val="20"/>
          <w:rtl w:val="0"/>
        </w:rPr>
        <w:t xml:space="preserve">nemá v České republice nebo v zemi svého sídla splatný nedoplatek na pojistném nebo na penále na sociální zabezpečení a příspěvku na státní politiku zaměstnanosti,</w:t>
      </w:r>
      <w:r w:rsidDel="00000000" w:rsidR="00000000" w:rsidRPr="00000000">
        <w:rPr>
          <w:rtl w:val="0"/>
        </w:rPr>
      </w:r>
    </w:p>
    <w:p w:rsidR="00000000" w:rsidDel="00000000" w:rsidP="00000000" w:rsidRDefault="00000000" w:rsidRPr="00000000" w14:paraId="00000012">
      <w:pPr>
        <w:numPr>
          <w:ilvl w:val="0"/>
          <w:numId w:val="1"/>
        </w:numPr>
        <w:spacing w:after="240" w:before="0" w:lineRule="auto"/>
        <w:ind w:left="680" w:hanging="396"/>
        <w:jc w:val="both"/>
        <w:rPr/>
      </w:pPr>
      <w:r w:rsidDel="00000000" w:rsidR="00000000" w:rsidRPr="00000000">
        <w:rPr>
          <w:rFonts w:ascii="Arial" w:cs="Arial" w:eastAsia="Arial" w:hAnsi="Arial"/>
          <w:sz w:val="20"/>
          <w:szCs w:val="20"/>
          <w:rtl w:val="0"/>
        </w:rPr>
        <w:t xml:space="preserve">není v likvidaci</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rtl w:val="0"/>
        </w:rPr>
        <w:t xml:space="preserve">, nebylo proti němu vydáno rozhodnutí o úpadku</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 nebyla vůči němu nařízena nucená správa podle jiného právního předpisu</w:t>
      </w:r>
      <w:r w:rsidDel="00000000" w:rsidR="00000000" w:rsidRPr="00000000">
        <w:rPr>
          <w:rFonts w:ascii="Arial" w:cs="Arial" w:eastAsia="Arial" w:hAnsi="Arial"/>
          <w:sz w:val="20"/>
          <w:szCs w:val="20"/>
          <w:vertAlign w:val="superscript"/>
          <w:rtl w:val="0"/>
        </w:rPr>
        <w:t xml:space="preserve">4</w:t>
      </w:r>
      <w:r w:rsidDel="00000000" w:rsidR="00000000" w:rsidRPr="00000000">
        <w:rPr>
          <w:rFonts w:ascii="Arial" w:cs="Arial" w:eastAsia="Arial" w:hAnsi="Arial"/>
          <w:sz w:val="20"/>
          <w:szCs w:val="20"/>
          <w:rtl w:val="0"/>
        </w:rPr>
        <w:t xml:space="preserve"> nebo není v obdobné situaci podle právního řádu země sídla dodavatele.</w:t>
      </w:r>
    </w:p>
    <w:p w:rsidR="00000000" w:rsidDel="00000000" w:rsidP="00000000" w:rsidRDefault="00000000" w:rsidRPr="00000000" w14:paraId="0000001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Pozn.:</w:t>
      </w:r>
    </w:p>
    <w:p w:rsidR="00000000" w:rsidDel="00000000" w:rsidP="00000000" w:rsidRDefault="00000000" w:rsidRPr="00000000" w14:paraId="00000014">
      <w:pPr>
        <w:jc w:val="both"/>
        <w:rPr/>
      </w:pPr>
      <w:r w:rsidDel="00000000" w:rsidR="00000000" w:rsidRPr="00000000">
        <w:rPr>
          <w:rFonts w:ascii="Arial" w:cs="Arial" w:eastAsia="Arial" w:hAnsi="Arial"/>
          <w:sz w:val="18"/>
          <w:szCs w:val="18"/>
          <w:vertAlign w:val="superscript"/>
          <w:rtl w:val="0"/>
        </w:rPr>
        <w:t xml:space="preserve">1</w:t>
      </w:r>
      <w:r w:rsidDel="00000000" w:rsidR="00000000" w:rsidRPr="00000000">
        <w:rPr>
          <w:rFonts w:ascii="Arial" w:cs="Arial" w:eastAsia="Arial" w:hAnsi="Arial"/>
          <w:sz w:val="18"/>
          <w:szCs w:val="18"/>
          <w:rtl w:val="0"/>
        </w:rPr>
        <w:t xml:space="preserve">je-li dodavatelem právnická osoba, splňuje tuto podmínku jak tato právnická osoba, tak její statutární orgán nebo každý člen statutárního orgánu, a je-li statutárním orgánem dodavatele či členem statutárního orgánu dodavatele právnická osoba, splňuje tuto podmínku jak tato právnická osoba, tak její statutární orgán nebo každý člen statutárního orgánu této právnické osoby nebo osoba zastupující tuto právnickou osobu v statutárním orgánu dodavatele; účastní-li se zadávacího řízení pobočka zahraniční právnické osoby, splňuje tuto podmínku jak tato právnická osoba tak vedoucí pobočky závodu; účastní-li se zadávacího řízení pobočka české právnické osoby, splňuje tuto podmínku jak tato právnická osoba, tak její statutární orgán nebo každý člen statutárního orgánu této právnické osoby nebo osoba zastupující tuto právnickou osobu v statutárním orgánu dodavatele;</w:t>
      </w:r>
      <w:r w:rsidDel="00000000" w:rsidR="00000000" w:rsidRPr="00000000">
        <w:rPr>
          <w:rtl w:val="0"/>
        </w:rPr>
      </w:r>
    </w:p>
    <w:p w:rsidR="00000000" w:rsidDel="00000000" w:rsidP="00000000" w:rsidRDefault="00000000" w:rsidRPr="00000000" w14:paraId="00000015">
      <w:pPr>
        <w:jc w:val="both"/>
        <w:rPr/>
      </w:pPr>
      <w:r w:rsidDel="00000000" w:rsidR="00000000" w:rsidRPr="00000000">
        <w:rPr>
          <w:rFonts w:ascii="Arial" w:cs="Arial" w:eastAsia="Arial" w:hAnsi="Arial"/>
          <w:sz w:val="18"/>
          <w:szCs w:val="18"/>
          <w:vertAlign w:val="superscript"/>
          <w:rtl w:val="0"/>
        </w:rPr>
        <w:t xml:space="preserve">2</w:t>
      </w:r>
      <w:r w:rsidDel="00000000" w:rsidR="00000000" w:rsidRPr="00000000">
        <w:rPr>
          <w:rFonts w:ascii="Arial" w:cs="Arial" w:eastAsia="Arial" w:hAnsi="Arial"/>
          <w:sz w:val="18"/>
          <w:szCs w:val="18"/>
          <w:rtl w:val="0"/>
        </w:rPr>
        <w:t xml:space="preserve"> ust. § 187 občanského zákoníku, ve znění pozdějších předpisů;</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ust. § 136 zákona č. 182/2006 Sb., o úpadku a způsobech jeho řešení (insolvenční zákon), ve znění pozdějších předpisů;</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například zákon č. 21/1992 Sb., o bankách, ve znění pozdějších předpisů, zákon č. 87/1995 Sb., </w:t>
        <w:br w:type="textWrapping"/>
        <w:t xml:space="preserve">o spořitelních a úvěrních družstvech a některých opatřeních s tím souvisejících  a o doplnění zákona České národní rady č. 586/1992 Sb., o daních z příjmů, ve znění pozdějších předpisů, zákon č. 363/1999 Sb., </w:t>
        <w:br w:type="textWrapping"/>
        <w:t xml:space="preserve">o pojišťovnictví a o změně některých souvisejících zákonů.</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V …..  Dne …..</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Podpis osoby oprávněné jednat jménem dodavatele: ……………………………………….</w:t>
      </w:r>
      <w:r w:rsidDel="00000000" w:rsidR="00000000" w:rsidRPr="00000000">
        <w:rPr>
          <w:rtl w:val="0"/>
        </w:rPr>
      </w:r>
    </w:p>
    <w:sectPr>
      <w:headerReference r:id="rId6" w:type="default"/>
      <w:footerReference r:id="rId7" w:type="default"/>
      <w:pgSz w:h="16838" w:w="11906"/>
      <w:pgMar w:bottom="1984" w:top="1134" w:left="1644" w:right="1644" w:header="1021" w:footer="19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center" w:pos="4819"/>
        <w:tab w:val="left" w:pos="5415"/>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368300</wp:posOffset>
              </wp:positionH>
              <wp:positionV relativeFrom="paragraph">
                <wp:posOffset>279400</wp:posOffset>
              </wp:positionV>
              <wp:extent cx="4996815" cy="238125"/>
              <wp:effectExtent b="0" l="0" r="0" t="0"/>
              <wp:wrapSquare wrapText="bothSides" distB="0" distT="0" distL="0" distR="0"/>
              <wp:docPr id="1" name=""/>
              <a:graphic>
                <a:graphicData uri="http://schemas.microsoft.com/office/word/2010/wordprocessingShape">
                  <wps:wsp>
                    <wps:cNvSpPr/>
                    <wps:cNvPr id="2" name="Shape 2"/>
                    <wps:spPr>
                      <a:xfrm>
                        <a:off x="2852355" y="3665700"/>
                        <a:ext cx="4987290" cy="2286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16"/>
                              <w:vertAlign w:val="baseline"/>
                            </w:rPr>
                            <w:t xml:space="preserve"> </w:t>
                          </w:r>
                        </w:p>
                      </w:txbxContent>
                    </wps:txbx>
                    <wps:bodyPr anchorCtr="0" anchor="t" bIns="46350" lIns="625" spcFirstLastPara="1" rIns="92075" wrap="square" tIns="6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368300</wp:posOffset>
              </wp:positionH>
              <wp:positionV relativeFrom="paragraph">
                <wp:posOffset>279400</wp:posOffset>
              </wp:positionV>
              <wp:extent cx="4996815" cy="2381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96815"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80" w:hanging="396"/>
      </w:pPr>
      <w:rPr>
        <w:rFonts w:ascii="Arial" w:cs="Arial" w:eastAsia="Arial" w:hAnsi="Arial"/>
        <w:b w:val="0"/>
        <w:i w:val="0"/>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